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A95" w:rsidRDefault="00887597" w:rsidP="00833BD3">
      <w:pPr>
        <w:spacing w:line="276" w:lineRule="auto"/>
        <w:jc w:val="center"/>
        <w:rPr>
          <w:rFonts w:ascii="Tahoma" w:eastAsia="Tahoma" w:hAnsi="Tahoma" w:cs="Tahoma"/>
          <w:b/>
          <w:sz w:val="36"/>
          <w:szCs w:val="36"/>
        </w:rPr>
      </w:pPr>
      <w:r>
        <w:rPr>
          <w:rFonts w:ascii="Tahoma" w:eastAsia="Tahoma" w:hAnsi="Tahoma" w:cs="Tahoma"/>
          <w:b/>
          <w:sz w:val="40"/>
          <w:szCs w:val="40"/>
        </w:rPr>
        <w:t>Con</w:t>
      </w:r>
      <w:r w:rsidR="00764BE6">
        <w:rPr>
          <w:rFonts w:ascii="Tahoma" w:eastAsia="Tahoma" w:hAnsi="Tahoma" w:cs="Tahoma"/>
          <w:b/>
          <w:sz w:val="40"/>
          <w:szCs w:val="40"/>
        </w:rPr>
        <w:t xml:space="preserve"> 1.485 buses</w:t>
      </w:r>
      <w:r w:rsidR="00764BE6">
        <w:rPr>
          <w:rFonts w:ascii="Tahoma" w:eastAsia="Tahoma" w:hAnsi="Tahoma" w:cs="Tahoma"/>
          <w:b/>
          <w:sz w:val="36"/>
          <w:szCs w:val="36"/>
        </w:rPr>
        <w:t xml:space="preserve"> 100%</w:t>
      </w:r>
      <w:r>
        <w:rPr>
          <w:rFonts w:ascii="Tahoma" w:eastAsia="Tahoma" w:hAnsi="Tahoma" w:cs="Tahoma"/>
          <w:b/>
          <w:sz w:val="36"/>
          <w:szCs w:val="36"/>
        </w:rPr>
        <w:t xml:space="preserve"> eléctricos,</w:t>
      </w:r>
      <w:r w:rsidR="00764BE6">
        <w:rPr>
          <w:rFonts w:ascii="Tahoma" w:eastAsia="Tahoma" w:hAnsi="Tahoma" w:cs="Tahoma"/>
          <w:b/>
          <w:sz w:val="36"/>
          <w:szCs w:val="36"/>
        </w:rPr>
        <w:t xml:space="preserve"> </w:t>
      </w:r>
      <w:r>
        <w:rPr>
          <w:rFonts w:ascii="Tahoma" w:eastAsia="Tahoma" w:hAnsi="Tahoma" w:cs="Tahoma"/>
          <w:b/>
          <w:sz w:val="36"/>
          <w:szCs w:val="36"/>
        </w:rPr>
        <w:t xml:space="preserve">Bogotá es la ciudad </w:t>
      </w:r>
      <w:r w:rsidR="002C0154">
        <w:rPr>
          <w:rFonts w:ascii="Tahoma" w:eastAsia="Tahoma" w:hAnsi="Tahoma" w:cs="Tahoma"/>
          <w:b/>
          <w:sz w:val="36"/>
          <w:szCs w:val="36"/>
        </w:rPr>
        <w:t xml:space="preserve">con </w:t>
      </w:r>
      <w:r>
        <w:rPr>
          <w:rFonts w:ascii="Tahoma" w:eastAsia="Tahoma" w:hAnsi="Tahoma" w:cs="Tahoma"/>
          <w:b/>
          <w:sz w:val="36"/>
          <w:szCs w:val="36"/>
        </w:rPr>
        <w:t>mayor flota eléctrica fuera de China</w:t>
      </w:r>
    </w:p>
    <w:p w:rsidR="00B77A95" w:rsidRDefault="00B77A95" w:rsidP="00833BD3">
      <w:pPr>
        <w:spacing w:line="276" w:lineRule="auto"/>
        <w:rPr>
          <w:rFonts w:ascii="Tahoma" w:eastAsia="Tahoma" w:hAnsi="Tahoma" w:cs="Tahoma"/>
          <w:b/>
        </w:rPr>
      </w:pPr>
    </w:p>
    <w:p w:rsidR="00B77A95" w:rsidRDefault="00764BE6">
      <w:pPr>
        <w:numPr>
          <w:ilvl w:val="0"/>
          <w:numId w:val="1"/>
        </w:numPr>
        <w:pBdr>
          <w:top w:val="nil"/>
          <w:left w:val="nil"/>
          <w:bottom w:val="nil"/>
          <w:right w:val="nil"/>
          <w:between w:val="nil"/>
        </w:pBdr>
        <w:spacing w:line="276" w:lineRule="auto"/>
        <w:jc w:val="both"/>
        <w:rPr>
          <w:rFonts w:ascii="Tahoma" w:eastAsia="Tahoma" w:hAnsi="Tahoma" w:cs="Tahoma"/>
          <w:i/>
          <w:color w:val="000000"/>
        </w:rPr>
      </w:pPr>
      <w:r>
        <w:rPr>
          <w:rFonts w:ascii="Tahoma" w:eastAsia="Tahoma" w:hAnsi="Tahoma" w:cs="Tahoma"/>
          <w:i/>
          <w:color w:val="000000"/>
        </w:rPr>
        <w:t>En proceso de selección abreviada, se adjudicaron 596 buses 100% eléctricos</w:t>
      </w:r>
      <w:r w:rsidR="00273326">
        <w:rPr>
          <w:rFonts w:ascii="Tahoma" w:eastAsia="Tahoma" w:hAnsi="Tahoma" w:cs="Tahoma"/>
          <w:i/>
          <w:color w:val="000000"/>
        </w:rPr>
        <w:t xml:space="preserve"> nuevos</w:t>
      </w:r>
      <w:r>
        <w:rPr>
          <w:rFonts w:ascii="Tahoma" w:eastAsia="Tahoma" w:hAnsi="Tahoma" w:cs="Tahoma"/>
          <w:i/>
          <w:color w:val="000000"/>
        </w:rPr>
        <w:t xml:space="preserve"> para 3 unidades funcionales de flota que operarán en las zonas de Fontibón, Usme y Perdomo.</w:t>
      </w:r>
    </w:p>
    <w:p w:rsidR="00B77A95" w:rsidRDefault="00B77A95">
      <w:pPr>
        <w:pBdr>
          <w:top w:val="nil"/>
          <w:left w:val="nil"/>
          <w:bottom w:val="nil"/>
          <w:right w:val="nil"/>
          <w:between w:val="nil"/>
        </w:pBdr>
        <w:ind w:left="720"/>
        <w:jc w:val="both"/>
        <w:rPr>
          <w:i/>
          <w:color w:val="000000"/>
        </w:rPr>
      </w:pPr>
    </w:p>
    <w:p w:rsidR="00887597" w:rsidRPr="00887597" w:rsidRDefault="00764BE6" w:rsidP="00887597">
      <w:pPr>
        <w:numPr>
          <w:ilvl w:val="0"/>
          <w:numId w:val="1"/>
        </w:numPr>
        <w:pBdr>
          <w:top w:val="nil"/>
          <w:left w:val="nil"/>
          <w:bottom w:val="nil"/>
          <w:right w:val="nil"/>
          <w:between w:val="nil"/>
        </w:pBdr>
        <w:spacing w:line="276" w:lineRule="auto"/>
        <w:jc w:val="both"/>
        <w:rPr>
          <w:i/>
          <w:color w:val="000000"/>
        </w:rPr>
      </w:pPr>
      <w:r>
        <w:rPr>
          <w:rFonts w:ascii="Tahoma" w:eastAsia="Tahoma" w:hAnsi="Tahoma" w:cs="Tahoma"/>
          <w:i/>
          <w:color w:val="000000"/>
        </w:rPr>
        <w:t>En total, el SITP en su componente zonal contará con 1.485 buses 100% eléctricos, de los cuales 133 iniciaron su operación en el año 2020 y los demás entrarán gradualmente en 2021 y 2022.</w:t>
      </w:r>
    </w:p>
    <w:p w:rsidR="00887597" w:rsidRDefault="00887597" w:rsidP="00887597">
      <w:pPr>
        <w:pStyle w:val="Prrafodelista"/>
        <w:rPr>
          <w:i/>
          <w:color w:val="000000"/>
        </w:rPr>
      </w:pPr>
    </w:p>
    <w:p w:rsidR="00887597" w:rsidRPr="00E134F8" w:rsidRDefault="00887597" w:rsidP="00E134F8">
      <w:pPr>
        <w:numPr>
          <w:ilvl w:val="0"/>
          <w:numId w:val="1"/>
        </w:numPr>
        <w:pBdr>
          <w:top w:val="nil"/>
          <w:left w:val="nil"/>
          <w:bottom w:val="nil"/>
          <w:right w:val="nil"/>
          <w:between w:val="nil"/>
        </w:pBdr>
        <w:spacing w:line="276" w:lineRule="auto"/>
        <w:jc w:val="both"/>
        <w:rPr>
          <w:rFonts w:ascii="Tahoma" w:eastAsia="Tahoma" w:hAnsi="Tahoma" w:cs="Tahoma"/>
          <w:i/>
          <w:color w:val="000000"/>
        </w:rPr>
      </w:pPr>
      <w:r>
        <w:rPr>
          <w:rFonts w:ascii="Tahoma" w:eastAsia="Tahoma" w:hAnsi="Tahoma" w:cs="Tahoma"/>
          <w:i/>
          <w:color w:val="000000"/>
        </w:rPr>
        <w:t xml:space="preserve">Los 1.485 buses posicionan a Bogotá como </w:t>
      </w:r>
      <w:r>
        <w:rPr>
          <w:rFonts w:ascii="Tahoma" w:eastAsia="Tahoma" w:hAnsi="Tahoma" w:cs="Tahoma"/>
          <w:i/>
          <w:color w:val="000000"/>
        </w:rPr>
        <w:t xml:space="preserve">la ciudad con más buses de esta tecnología fuera de China, y es líder en tecnología eléctrica en América Latina </w:t>
      </w:r>
      <w:r w:rsidRPr="00E134F8">
        <w:rPr>
          <w:rFonts w:ascii="Tahoma" w:eastAsia="Tahoma" w:hAnsi="Tahoma" w:cs="Tahoma"/>
          <w:i/>
          <w:color w:val="000000"/>
        </w:rPr>
        <w:t xml:space="preserve">junto con Santiago de Chile, que cuenta con 973 buses y actualmente se encuentra adelantando procesos licitatorios para adquirir más flota. </w:t>
      </w:r>
    </w:p>
    <w:p w:rsidR="00887597" w:rsidRDefault="00887597" w:rsidP="00887597">
      <w:pPr>
        <w:pBdr>
          <w:top w:val="nil"/>
          <w:left w:val="nil"/>
          <w:bottom w:val="nil"/>
          <w:right w:val="nil"/>
          <w:between w:val="nil"/>
        </w:pBdr>
        <w:spacing w:line="276" w:lineRule="auto"/>
        <w:jc w:val="both"/>
        <w:rPr>
          <w:rFonts w:ascii="Tahoma" w:eastAsia="Tahoma" w:hAnsi="Tahoma" w:cs="Tahoma"/>
          <w:i/>
          <w:color w:val="000000"/>
        </w:rPr>
      </w:pPr>
    </w:p>
    <w:p w:rsidR="00887597" w:rsidRPr="00887597" w:rsidRDefault="00E134F8" w:rsidP="00887597">
      <w:pPr>
        <w:numPr>
          <w:ilvl w:val="0"/>
          <w:numId w:val="1"/>
        </w:numPr>
        <w:pBdr>
          <w:top w:val="nil"/>
          <w:left w:val="nil"/>
          <w:bottom w:val="nil"/>
          <w:right w:val="nil"/>
          <w:between w:val="nil"/>
        </w:pBdr>
        <w:spacing w:line="276" w:lineRule="auto"/>
        <w:jc w:val="both"/>
        <w:rPr>
          <w:i/>
          <w:color w:val="000000"/>
        </w:rPr>
      </w:pPr>
      <w:r>
        <w:rPr>
          <w:rFonts w:ascii="Tahoma" w:eastAsia="Tahoma" w:hAnsi="Tahoma" w:cs="Tahoma"/>
          <w:i/>
          <w:color w:val="000000"/>
        </w:rPr>
        <w:t>Estos 596</w:t>
      </w:r>
      <w:r w:rsidR="00887597">
        <w:rPr>
          <w:rFonts w:ascii="Tahoma" w:eastAsia="Tahoma" w:hAnsi="Tahoma" w:cs="Tahoma"/>
          <w:i/>
          <w:color w:val="000000"/>
        </w:rPr>
        <w:t xml:space="preserve"> se suma a los 889 buses eléctricos y 794 de bajas emisiones con estándar de emisión Euro VI que se adjudicaron durante los últimos dos años para extender la cobertura del componente Zonal. </w:t>
      </w:r>
    </w:p>
    <w:p w:rsidR="00B77A95" w:rsidRDefault="00B77A95">
      <w:pPr>
        <w:spacing w:line="276" w:lineRule="auto"/>
        <w:jc w:val="both"/>
        <w:rPr>
          <w:rFonts w:ascii="Tahoma" w:eastAsia="Tahoma" w:hAnsi="Tahoma" w:cs="Tahoma"/>
          <w:i/>
        </w:rPr>
      </w:pPr>
    </w:p>
    <w:p w:rsidR="00B77A95" w:rsidRDefault="00764BE6">
      <w:pPr>
        <w:numPr>
          <w:ilvl w:val="0"/>
          <w:numId w:val="1"/>
        </w:numPr>
        <w:pBdr>
          <w:top w:val="nil"/>
          <w:left w:val="nil"/>
          <w:bottom w:val="nil"/>
          <w:right w:val="nil"/>
          <w:between w:val="nil"/>
        </w:pBdr>
        <w:spacing w:line="276" w:lineRule="auto"/>
        <w:jc w:val="both"/>
        <w:rPr>
          <w:i/>
          <w:color w:val="000000"/>
        </w:rPr>
      </w:pPr>
      <w:r>
        <w:rPr>
          <w:rFonts w:ascii="Tahoma" w:eastAsia="Tahoma" w:hAnsi="Tahoma" w:cs="Tahoma"/>
          <w:i/>
          <w:color w:val="000000"/>
        </w:rPr>
        <w:t>Esta adjudicación se enmarca en el proceso denominado Fase V para extender la cobertura del componente zonal a Usme, Fontibón, San Cristóbal, Perdomo y Suba Centro, zonas actualmente atendidas por el esquema provisional.</w:t>
      </w:r>
    </w:p>
    <w:p w:rsidR="00B77A95" w:rsidRDefault="00B77A95">
      <w:pPr>
        <w:spacing w:line="276" w:lineRule="auto"/>
        <w:rPr>
          <w:rFonts w:ascii="Tahoma" w:eastAsia="Tahoma" w:hAnsi="Tahoma" w:cs="Tahoma"/>
          <w:b/>
        </w:rPr>
      </w:pPr>
    </w:p>
    <w:p w:rsidR="00B77A95" w:rsidRDefault="00764BE6">
      <w:pPr>
        <w:spacing w:line="276" w:lineRule="auto"/>
        <w:jc w:val="both"/>
        <w:rPr>
          <w:rFonts w:ascii="Tahoma" w:eastAsia="Tahoma" w:hAnsi="Tahoma" w:cs="Tahoma"/>
        </w:rPr>
      </w:pPr>
      <w:r>
        <w:rPr>
          <w:rFonts w:ascii="Tahoma" w:eastAsia="Tahoma" w:hAnsi="Tahoma" w:cs="Tahoma"/>
          <w:b/>
        </w:rPr>
        <w:t xml:space="preserve">Bogotá, 5 de enero de 2020. </w:t>
      </w:r>
      <w:r>
        <w:rPr>
          <w:rFonts w:ascii="Tahoma" w:eastAsia="Tahoma" w:hAnsi="Tahoma" w:cs="Tahoma"/>
        </w:rPr>
        <w:t xml:space="preserve">En audiencia pública, TRANSMILENIO S.A. adjudicó 596 buses 100% eléctricos correspondientes a 3 Unidades Funcionales que operarán en las zonas de Fontibón, Usme y Perdomo. </w:t>
      </w:r>
    </w:p>
    <w:p w:rsidR="00B77A95" w:rsidRDefault="00B77A95">
      <w:pPr>
        <w:spacing w:line="276" w:lineRule="auto"/>
        <w:jc w:val="both"/>
        <w:rPr>
          <w:rFonts w:ascii="Tahoma" w:eastAsia="Tahoma" w:hAnsi="Tahoma" w:cs="Tahoma"/>
        </w:rPr>
      </w:pPr>
    </w:p>
    <w:p w:rsidR="00E134F8" w:rsidRDefault="00764BE6">
      <w:pPr>
        <w:pBdr>
          <w:top w:val="nil"/>
          <w:left w:val="nil"/>
          <w:bottom w:val="nil"/>
          <w:right w:val="nil"/>
          <w:between w:val="nil"/>
        </w:pBdr>
        <w:spacing w:line="276" w:lineRule="auto"/>
        <w:jc w:val="both"/>
        <w:rPr>
          <w:rFonts w:ascii="Tahoma" w:eastAsia="Tahoma" w:hAnsi="Tahoma" w:cs="Tahoma"/>
          <w:color w:val="000000"/>
        </w:rPr>
      </w:pPr>
      <w:r>
        <w:rPr>
          <w:rFonts w:ascii="Tahoma" w:eastAsia="Tahoma" w:hAnsi="Tahoma" w:cs="Tahoma"/>
          <w:color w:val="000000"/>
        </w:rPr>
        <w:t xml:space="preserve">Con esta adquisición, sumados a los 889 buses que ya se habían contratado anteriormente, la ciudad contará con una flota de 1.485 buses </w:t>
      </w:r>
      <w:r w:rsidR="002C0154">
        <w:rPr>
          <w:rFonts w:ascii="Tahoma" w:eastAsia="Tahoma" w:hAnsi="Tahoma" w:cs="Tahoma"/>
          <w:color w:val="000000"/>
        </w:rPr>
        <w:t xml:space="preserve">100% </w:t>
      </w:r>
      <w:r>
        <w:rPr>
          <w:rFonts w:ascii="Tahoma" w:eastAsia="Tahoma" w:hAnsi="Tahoma" w:cs="Tahoma"/>
          <w:color w:val="000000"/>
        </w:rPr>
        <w:t xml:space="preserve">eléctricos, lo que la convierte </w:t>
      </w:r>
      <w:r w:rsidR="00E134F8">
        <w:rPr>
          <w:rFonts w:ascii="Tahoma" w:eastAsia="Tahoma" w:hAnsi="Tahoma" w:cs="Tahoma"/>
          <w:color w:val="000000"/>
        </w:rPr>
        <w:t xml:space="preserve">en la ciudad con más flota de esta tecnología </w:t>
      </w:r>
      <w:r w:rsidR="002C0154">
        <w:rPr>
          <w:rFonts w:ascii="Tahoma" w:eastAsia="Tahoma" w:hAnsi="Tahoma" w:cs="Tahoma"/>
          <w:color w:val="000000"/>
        </w:rPr>
        <w:t xml:space="preserve">por </w:t>
      </w:r>
      <w:r w:rsidR="00E134F8">
        <w:rPr>
          <w:rFonts w:ascii="Tahoma" w:eastAsia="Tahoma" w:hAnsi="Tahoma" w:cs="Tahoma"/>
          <w:color w:val="000000"/>
        </w:rPr>
        <w:t xml:space="preserve">fuera de China. </w:t>
      </w:r>
    </w:p>
    <w:p w:rsidR="00273326" w:rsidRDefault="00273326">
      <w:pPr>
        <w:pBdr>
          <w:top w:val="nil"/>
          <w:left w:val="nil"/>
          <w:bottom w:val="nil"/>
          <w:right w:val="nil"/>
          <w:between w:val="nil"/>
        </w:pBdr>
        <w:spacing w:line="276" w:lineRule="auto"/>
        <w:jc w:val="both"/>
        <w:rPr>
          <w:rFonts w:ascii="Tahoma" w:eastAsia="Tahoma" w:hAnsi="Tahoma" w:cs="Tahoma"/>
          <w:color w:val="000000"/>
        </w:rPr>
      </w:pPr>
    </w:p>
    <w:p w:rsidR="00B77A95" w:rsidRDefault="00764BE6">
      <w:pPr>
        <w:pBdr>
          <w:top w:val="nil"/>
          <w:left w:val="nil"/>
          <w:bottom w:val="nil"/>
          <w:right w:val="nil"/>
          <w:between w:val="nil"/>
        </w:pBdr>
        <w:spacing w:line="276" w:lineRule="auto"/>
        <w:jc w:val="both"/>
        <w:rPr>
          <w:rFonts w:ascii="Tahoma" w:eastAsia="Tahoma" w:hAnsi="Tahoma" w:cs="Tahoma"/>
          <w:color w:val="000000"/>
        </w:rPr>
      </w:pPr>
      <w:bookmarkStart w:id="0" w:name="_GoBack"/>
      <w:bookmarkEnd w:id="0"/>
      <w:r>
        <w:rPr>
          <w:rFonts w:ascii="Tahoma" w:eastAsia="Tahoma" w:hAnsi="Tahoma" w:cs="Tahoma"/>
          <w:color w:val="000000"/>
        </w:rPr>
        <w:t xml:space="preserve">A nivel continental, Bogotá es referente en movilidad eléctrica </w:t>
      </w:r>
      <w:r w:rsidR="00E134F8">
        <w:rPr>
          <w:rFonts w:ascii="Tahoma" w:eastAsia="Tahoma" w:hAnsi="Tahoma" w:cs="Tahoma"/>
          <w:color w:val="000000"/>
        </w:rPr>
        <w:t>junto con Santiago de Chile, que cuenta con 973 buses y</w:t>
      </w:r>
      <w:r w:rsidR="00E134F8">
        <w:rPr>
          <w:rFonts w:ascii="Tahoma" w:eastAsia="Tahoma" w:hAnsi="Tahoma" w:cs="Tahoma"/>
          <w:color w:val="000000"/>
        </w:rPr>
        <w:t xml:space="preserve"> actualmente se encuentra con procesos licitatorios </w:t>
      </w:r>
      <w:r w:rsidR="00E134F8">
        <w:rPr>
          <w:rFonts w:ascii="Tahoma" w:eastAsia="Tahoma" w:hAnsi="Tahoma" w:cs="Tahoma"/>
          <w:color w:val="000000"/>
        </w:rPr>
        <w:lastRenderedPageBreak/>
        <w:t>en</w:t>
      </w:r>
      <w:r w:rsidR="00E134F8">
        <w:rPr>
          <w:rFonts w:ascii="Tahoma" w:eastAsia="Tahoma" w:hAnsi="Tahoma" w:cs="Tahoma"/>
          <w:color w:val="000000"/>
        </w:rPr>
        <w:t xml:space="preserve"> curso para acrecentar su flota; </w:t>
      </w:r>
      <w:r>
        <w:rPr>
          <w:rFonts w:ascii="Tahoma" w:eastAsia="Tahoma" w:hAnsi="Tahoma" w:cs="Tahoma"/>
          <w:color w:val="000000"/>
        </w:rPr>
        <w:t xml:space="preserve">y se encuentra por encima de ciudades como Buenos Aires (88 buses eléctricos), Ciudad de México (273 buses), Montevideo (30 buses) o </w:t>
      </w:r>
      <w:r w:rsidR="00E134F8">
        <w:rPr>
          <w:rFonts w:ascii="Tahoma" w:eastAsia="Tahoma" w:hAnsi="Tahoma" w:cs="Tahoma"/>
          <w:color w:val="000000"/>
        </w:rPr>
        <w:t>Guayaquil (20 buses). E</w:t>
      </w:r>
      <w:r>
        <w:rPr>
          <w:rFonts w:ascii="Tahoma" w:eastAsia="Tahoma" w:hAnsi="Tahoma" w:cs="Tahoma"/>
          <w:color w:val="000000"/>
        </w:rPr>
        <w:t>n el plano nacional es líder sobre Medellín y Cali, que cuentan con 65 y 35 buses eléctricos respectivamente.</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w:t>
      </w:r>
      <w:r>
        <w:rPr>
          <w:rFonts w:ascii="Tahoma" w:eastAsia="Tahoma" w:hAnsi="Tahoma" w:cs="Tahoma"/>
          <w:i/>
        </w:rPr>
        <w:t>En TransMilenio estamos comprometidos con llevar el componente zonal a todas las zonas de la ciudad donde nuestros usuarios lo necesiten, y, además, de hacerlo con tecnología de punta, amigable con el ambiente. Contar con una de las dos flotas eléctricas más grandes de América Latina es un orgullo y muestra de que vamos por el camino correcto en cuanto a la renovación de la flota y su ascenso tecnológico</w:t>
      </w:r>
      <w:r>
        <w:rPr>
          <w:rFonts w:ascii="Tahoma" w:eastAsia="Tahoma" w:hAnsi="Tahoma" w:cs="Tahoma"/>
        </w:rPr>
        <w:t>”, comentó María Fernanda Ortiz, Gerente General (e) de TRANSMILENIO S.A.</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Los 596 buses corresponden a los presentes procesos de selección abreviada TMSA-SAM-14-2020 para la provisión y TMSA-SAM-15-2020 para la operación, que contemplaban 4 Unidades Funcionales de flota para un total de 889 buses. Cabe señalar que TRANSMILENIO S.A. dio apertura a los mencionados procesos, debido a la declaratoria parcialmente desierta de las licitaciones públicas TMSA-LP-03-2020 y TMSA-LP-04-2020.</w:t>
      </w:r>
    </w:p>
    <w:p w:rsidR="00B77A95" w:rsidRDefault="00B77A95">
      <w:pPr>
        <w:spacing w:line="276" w:lineRule="auto"/>
        <w:jc w:val="both"/>
        <w:rPr>
          <w:rFonts w:ascii="Tahoma" w:eastAsia="Tahoma" w:hAnsi="Tahoma" w:cs="Tahoma"/>
        </w:rPr>
      </w:pPr>
    </w:p>
    <w:tbl>
      <w:tblPr>
        <w:tblStyle w:val="a"/>
        <w:tblW w:w="3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1"/>
        <w:gridCol w:w="1701"/>
      </w:tblGrid>
      <w:tr w:rsidR="00B77A95">
        <w:trPr>
          <w:jc w:val="center"/>
        </w:trPr>
        <w:tc>
          <w:tcPr>
            <w:tcW w:w="2292" w:type="dxa"/>
          </w:tcPr>
          <w:p w:rsidR="00B77A95" w:rsidRDefault="00764BE6">
            <w:pPr>
              <w:jc w:val="center"/>
              <w:rPr>
                <w:rFonts w:ascii="Tahoma" w:eastAsia="Tahoma" w:hAnsi="Tahoma" w:cs="Tahoma"/>
                <w:b/>
                <w:sz w:val="20"/>
                <w:szCs w:val="20"/>
              </w:rPr>
            </w:pPr>
            <w:r>
              <w:rPr>
                <w:rFonts w:ascii="Tahoma" w:eastAsia="Tahoma" w:hAnsi="Tahoma" w:cs="Tahoma"/>
                <w:b/>
                <w:sz w:val="20"/>
                <w:szCs w:val="20"/>
              </w:rPr>
              <w:t>UNIDADES FUNCIONALES</w:t>
            </w:r>
          </w:p>
        </w:tc>
        <w:tc>
          <w:tcPr>
            <w:tcW w:w="1701" w:type="dxa"/>
            <w:vAlign w:val="center"/>
          </w:tcPr>
          <w:p w:rsidR="00B77A95" w:rsidRDefault="00764BE6">
            <w:pPr>
              <w:jc w:val="center"/>
              <w:rPr>
                <w:rFonts w:ascii="Tahoma" w:eastAsia="Tahoma" w:hAnsi="Tahoma" w:cs="Tahoma"/>
                <w:b/>
                <w:sz w:val="20"/>
                <w:szCs w:val="20"/>
              </w:rPr>
            </w:pPr>
            <w:r>
              <w:rPr>
                <w:rFonts w:ascii="Tahoma" w:eastAsia="Tahoma" w:hAnsi="Tahoma" w:cs="Tahoma"/>
                <w:b/>
                <w:sz w:val="20"/>
                <w:szCs w:val="20"/>
              </w:rPr>
              <w:t>FLOTA TOTAL (Buses)</w:t>
            </w:r>
          </w:p>
        </w:tc>
      </w:tr>
      <w:tr w:rsidR="00B77A95">
        <w:trPr>
          <w:trHeight w:val="340"/>
          <w:jc w:val="center"/>
        </w:trPr>
        <w:tc>
          <w:tcPr>
            <w:tcW w:w="2292" w:type="dxa"/>
            <w:vAlign w:val="center"/>
          </w:tcPr>
          <w:p w:rsidR="00B77A95" w:rsidRDefault="00764BE6">
            <w:pPr>
              <w:rPr>
                <w:rFonts w:ascii="Tahoma" w:eastAsia="Tahoma" w:hAnsi="Tahoma" w:cs="Tahoma"/>
                <w:sz w:val="20"/>
                <w:szCs w:val="20"/>
              </w:rPr>
            </w:pPr>
            <w:r>
              <w:rPr>
                <w:rFonts w:ascii="Tahoma" w:eastAsia="Tahoma" w:hAnsi="Tahoma" w:cs="Tahoma"/>
                <w:sz w:val="20"/>
                <w:szCs w:val="20"/>
              </w:rPr>
              <w:t>UF7 – FONTIBÓN IV</w:t>
            </w:r>
          </w:p>
        </w:tc>
        <w:tc>
          <w:tcPr>
            <w:tcW w:w="1701" w:type="dxa"/>
            <w:vAlign w:val="center"/>
          </w:tcPr>
          <w:p w:rsidR="00B77A95" w:rsidRDefault="00764BE6">
            <w:pPr>
              <w:jc w:val="center"/>
              <w:rPr>
                <w:rFonts w:ascii="Tahoma" w:eastAsia="Tahoma" w:hAnsi="Tahoma" w:cs="Tahoma"/>
                <w:sz w:val="20"/>
                <w:szCs w:val="20"/>
              </w:rPr>
            </w:pPr>
            <w:r>
              <w:rPr>
                <w:rFonts w:ascii="Tahoma" w:eastAsia="Tahoma" w:hAnsi="Tahoma" w:cs="Tahoma"/>
                <w:sz w:val="20"/>
                <w:szCs w:val="20"/>
              </w:rPr>
              <w:t>172</w:t>
            </w:r>
          </w:p>
        </w:tc>
      </w:tr>
      <w:tr w:rsidR="00B77A95">
        <w:trPr>
          <w:trHeight w:val="340"/>
          <w:jc w:val="center"/>
        </w:trPr>
        <w:tc>
          <w:tcPr>
            <w:tcW w:w="2292" w:type="dxa"/>
            <w:vAlign w:val="center"/>
          </w:tcPr>
          <w:p w:rsidR="00B77A95" w:rsidRDefault="00764BE6">
            <w:pPr>
              <w:rPr>
                <w:rFonts w:ascii="Tahoma" w:eastAsia="Tahoma" w:hAnsi="Tahoma" w:cs="Tahoma"/>
                <w:sz w:val="20"/>
                <w:szCs w:val="20"/>
              </w:rPr>
            </w:pPr>
            <w:r>
              <w:rPr>
                <w:rFonts w:ascii="Tahoma" w:eastAsia="Tahoma" w:hAnsi="Tahoma" w:cs="Tahoma"/>
                <w:sz w:val="20"/>
                <w:szCs w:val="20"/>
              </w:rPr>
              <w:t>UF8 – PERDOMO II</w:t>
            </w:r>
          </w:p>
        </w:tc>
        <w:tc>
          <w:tcPr>
            <w:tcW w:w="1701" w:type="dxa"/>
            <w:vAlign w:val="center"/>
          </w:tcPr>
          <w:p w:rsidR="00B77A95" w:rsidRDefault="00764BE6">
            <w:pPr>
              <w:jc w:val="center"/>
              <w:rPr>
                <w:rFonts w:ascii="Tahoma" w:eastAsia="Tahoma" w:hAnsi="Tahoma" w:cs="Tahoma"/>
                <w:sz w:val="20"/>
                <w:szCs w:val="20"/>
              </w:rPr>
            </w:pPr>
            <w:r>
              <w:rPr>
                <w:rFonts w:ascii="Tahoma" w:eastAsia="Tahoma" w:hAnsi="Tahoma" w:cs="Tahoma"/>
                <w:sz w:val="20"/>
                <w:szCs w:val="20"/>
              </w:rPr>
              <w:t>195</w:t>
            </w:r>
          </w:p>
        </w:tc>
      </w:tr>
      <w:tr w:rsidR="00B77A95">
        <w:trPr>
          <w:trHeight w:val="340"/>
          <w:jc w:val="center"/>
        </w:trPr>
        <w:tc>
          <w:tcPr>
            <w:tcW w:w="2292" w:type="dxa"/>
            <w:vAlign w:val="center"/>
          </w:tcPr>
          <w:p w:rsidR="00B77A95" w:rsidRDefault="00764BE6">
            <w:pPr>
              <w:rPr>
                <w:rFonts w:ascii="Tahoma" w:eastAsia="Tahoma" w:hAnsi="Tahoma" w:cs="Tahoma"/>
                <w:sz w:val="20"/>
                <w:szCs w:val="20"/>
              </w:rPr>
            </w:pPr>
            <w:r>
              <w:rPr>
                <w:rFonts w:ascii="Tahoma" w:eastAsia="Tahoma" w:hAnsi="Tahoma" w:cs="Tahoma"/>
                <w:sz w:val="20"/>
                <w:szCs w:val="20"/>
              </w:rPr>
              <w:t>UF13 – USME II</w:t>
            </w:r>
          </w:p>
        </w:tc>
        <w:tc>
          <w:tcPr>
            <w:tcW w:w="1701" w:type="dxa"/>
            <w:vAlign w:val="center"/>
          </w:tcPr>
          <w:p w:rsidR="00B77A95" w:rsidRDefault="00764BE6">
            <w:pPr>
              <w:jc w:val="center"/>
              <w:rPr>
                <w:rFonts w:ascii="Tahoma" w:eastAsia="Tahoma" w:hAnsi="Tahoma" w:cs="Tahoma"/>
                <w:sz w:val="20"/>
                <w:szCs w:val="20"/>
              </w:rPr>
            </w:pPr>
            <w:r>
              <w:rPr>
                <w:rFonts w:ascii="Tahoma" w:eastAsia="Tahoma" w:hAnsi="Tahoma" w:cs="Tahoma"/>
                <w:sz w:val="20"/>
                <w:szCs w:val="20"/>
              </w:rPr>
              <w:t>229</w:t>
            </w:r>
          </w:p>
        </w:tc>
      </w:tr>
      <w:tr w:rsidR="00B77A95">
        <w:trPr>
          <w:trHeight w:val="575"/>
          <w:jc w:val="center"/>
        </w:trPr>
        <w:tc>
          <w:tcPr>
            <w:tcW w:w="2292" w:type="dxa"/>
            <w:vAlign w:val="center"/>
          </w:tcPr>
          <w:p w:rsidR="00B77A95" w:rsidRDefault="00764BE6">
            <w:pPr>
              <w:rPr>
                <w:rFonts w:ascii="Tahoma" w:eastAsia="Tahoma" w:hAnsi="Tahoma" w:cs="Tahoma"/>
                <w:sz w:val="20"/>
                <w:szCs w:val="20"/>
              </w:rPr>
            </w:pPr>
            <w:r>
              <w:rPr>
                <w:rFonts w:ascii="Tahoma" w:eastAsia="Tahoma" w:hAnsi="Tahoma" w:cs="Tahoma"/>
                <w:sz w:val="20"/>
                <w:szCs w:val="20"/>
              </w:rPr>
              <w:t>UF18 – SAN CRISTÓBAL CENTRO I</w:t>
            </w:r>
          </w:p>
        </w:tc>
        <w:tc>
          <w:tcPr>
            <w:tcW w:w="1701" w:type="dxa"/>
            <w:vAlign w:val="center"/>
          </w:tcPr>
          <w:p w:rsidR="00B77A95" w:rsidRDefault="00764BE6">
            <w:pPr>
              <w:jc w:val="center"/>
              <w:rPr>
                <w:rFonts w:ascii="Tahoma" w:eastAsia="Tahoma" w:hAnsi="Tahoma" w:cs="Tahoma"/>
                <w:sz w:val="20"/>
                <w:szCs w:val="20"/>
              </w:rPr>
            </w:pPr>
            <w:r>
              <w:rPr>
                <w:rFonts w:ascii="Tahoma" w:eastAsia="Tahoma" w:hAnsi="Tahoma" w:cs="Tahoma"/>
                <w:sz w:val="20"/>
                <w:szCs w:val="20"/>
              </w:rPr>
              <w:t>293</w:t>
            </w:r>
          </w:p>
        </w:tc>
      </w:tr>
      <w:tr w:rsidR="00B77A95">
        <w:trPr>
          <w:trHeight w:val="340"/>
          <w:jc w:val="center"/>
        </w:trPr>
        <w:tc>
          <w:tcPr>
            <w:tcW w:w="2292" w:type="dxa"/>
          </w:tcPr>
          <w:p w:rsidR="00B77A95" w:rsidRDefault="00764BE6">
            <w:pPr>
              <w:jc w:val="right"/>
              <w:rPr>
                <w:rFonts w:ascii="Tahoma" w:eastAsia="Tahoma" w:hAnsi="Tahoma" w:cs="Tahoma"/>
                <w:b/>
                <w:sz w:val="20"/>
                <w:szCs w:val="20"/>
              </w:rPr>
            </w:pPr>
            <w:r>
              <w:rPr>
                <w:rFonts w:ascii="Tahoma" w:eastAsia="Tahoma" w:hAnsi="Tahoma" w:cs="Tahoma"/>
                <w:b/>
                <w:sz w:val="20"/>
                <w:szCs w:val="20"/>
              </w:rPr>
              <w:t>TOTAL</w:t>
            </w:r>
          </w:p>
        </w:tc>
        <w:tc>
          <w:tcPr>
            <w:tcW w:w="1701" w:type="dxa"/>
            <w:vAlign w:val="center"/>
          </w:tcPr>
          <w:p w:rsidR="00B77A95" w:rsidRDefault="00764BE6">
            <w:pPr>
              <w:jc w:val="center"/>
              <w:rPr>
                <w:rFonts w:ascii="Tahoma" w:eastAsia="Tahoma" w:hAnsi="Tahoma" w:cs="Tahoma"/>
                <w:b/>
                <w:sz w:val="20"/>
                <w:szCs w:val="20"/>
              </w:rPr>
            </w:pPr>
            <w:r>
              <w:rPr>
                <w:rFonts w:ascii="Tahoma" w:eastAsia="Tahoma" w:hAnsi="Tahoma" w:cs="Tahoma"/>
                <w:b/>
                <w:sz w:val="20"/>
                <w:szCs w:val="20"/>
              </w:rPr>
              <w:t>889</w:t>
            </w:r>
          </w:p>
        </w:tc>
      </w:tr>
    </w:tbl>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 xml:space="preserve">De las 4 Unidades Funcionales, TRANSMILENIO S.A. recibió propuestas para 3: UF7 – Fontibón IV, UF8 – Perdomo II y UF13 – Usme II. En total, dichas propuestas contemplaban 596 con tecnología 100% eléctrica. </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Por su parte, la UF18 – San Cristóbal Centro I no recibió propuestas y debió ser declarada desierta. Sin embargo, para este caso vale recalcar que TRANSMILENIO S.A. se encuentra evaluando diferentes alternativas para garantizar la prestación del servicio a los ciudadanos de la localidad de San Cristóbal.</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lastRenderedPageBreak/>
        <w:t>Durante la Audiencia Pública de adjudicación se definieron los proponentes que resultaron adjudicatarios de las Unidades Funcionales así:</w:t>
      </w:r>
    </w:p>
    <w:p w:rsidR="00B77A95" w:rsidRDefault="00B77A95">
      <w:pPr>
        <w:spacing w:line="276" w:lineRule="auto"/>
        <w:jc w:val="both"/>
        <w:rPr>
          <w:rFonts w:ascii="Tahoma" w:eastAsia="Tahoma" w:hAnsi="Tahoma" w:cs="Tahoma"/>
        </w:rPr>
      </w:pP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6"/>
        <w:gridCol w:w="2126"/>
        <w:gridCol w:w="1887"/>
      </w:tblGrid>
      <w:tr w:rsidR="00B77A95">
        <w:tc>
          <w:tcPr>
            <w:tcW w:w="2689" w:type="dxa"/>
            <w:vAlign w:val="center"/>
          </w:tcPr>
          <w:p w:rsidR="00B77A95" w:rsidRDefault="00764BE6">
            <w:pPr>
              <w:spacing w:line="276" w:lineRule="auto"/>
              <w:rPr>
                <w:rFonts w:ascii="Tahoma" w:eastAsia="Tahoma" w:hAnsi="Tahoma" w:cs="Tahoma"/>
                <w:b/>
                <w:sz w:val="20"/>
                <w:szCs w:val="20"/>
              </w:rPr>
            </w:pPr>
            <w:r>
              <w:rPr>
                <w:rFonts w:ascii="Tahoma" w:eastAsia="Tahoma" w:hAnsi="Tahoma" w:cs="Tahoma"/>
                <w:b/>
                <w:sz w:val="20"/>
                <w:szCs w:val="20"/>
              </w:rPr>
              <w:t xml:space="preserve">UNIDAD </w:t>
            </w:r>
          </w:p>
          <w:p w:rsidR="00B77A95" w:rsidRDefault="00764BE6">
            <w:pPr>
              <w:spacing w:line="276" w:lineRule="auto"/>
              <w:rPr>
                <w:rFonts w:ascii="Tahoma" w:eastAsia="Tahoma" w:hAnsi="Tahoma" w:cs="Tahoma"/>
                <w:b/>
                <w:sz w:val="20"/>
                <w:szCs w:val="20"/>
              </w:rPr>
            </w:pPr>
            <w:r>
              <w:rPr>
                <w:rFonts w:ascii="Tahoma" w:eastAsia="Tahoma" w:hAnsi="Tahoma" w:cs="Tahoma"/>
                <w:b/>
                <w:sz w:val="20"/>
                <w:szCs w:val="20"/>
              </w:rPr>
              <w:t>FUNCIONAL</w:t>
            </w:r>
          </w:p>
        </w:tc>
        <w:tc>
          <w:tcPr>
            <w:tcW w:w="2126" w:type="dxa"/>
            <w:vAlign w:val="center"/>
          </w:tcPr>
          <w:p w:rsidR="00B77A95" w:rsidRDefault="00764BE6">
            <w:pPr>
              <w:spacing w:line="276" w:lineRule="auto"/>
              <w:jc w:val="center"/>
              <w:rPr>
                <w:rFonts w:ascii="Tahoma" w:eastAsia="Tahoma" w:hAnsi="Tahoma" w:cs="Tahoma"/>
                <w:b/>
                <w:sz w:val="20"/>
                <w:szCs w:val="20"/>
              </w:rPr>
            </w:pPr>
            <w:r>
              <w:rPr>
                <w:rFonts w:ascii="Tahoma" w:eastAsia="Tahoma" w:hAnsi="Tahoma" w:cs="Tahoma"/>
                <w:b/>
                <w:sz w:val="20"/>
                <w:szCs w:val="20"/>
              </w:rPr>
              <w:t xml:space="preserve">UF 7 – </w:t>
            </w:r>
          </w:p>
          <w:p w:rsidR="00B77A95" w:rsidRDefault="00764BE6">
            <w:pPr>
              <w:spacing w:line="276" w:lineRule="auto"/>
              <w:jc w:val="center"/>
              <w:rPr>
                <w:rFonts w:ascii="Tahoma" w:eastAsia="Tahoma" w:hAnsi="Tahoma" w:cs="Tahoma"/>
                <w:b/>
                <w:sz w:val="20"/>
                <w:szCs w:val="20"/>
              </w:rPr>
            </w:pPr>
            <w:r>
              <w:rPr>
                <w:rFonts w:ascii="Tahoma" w:eastAsia="Tahoma" w:hAnsi="Tahoma" w:cs="Tahoma"/>
                <w:b/>
                <w:sz w:val="20"/>
                <w:szCs w:val="20"/>
              </w:rPr>
              <w:t>FONTIBÓN IV</w:t>
            </w:r>
          </w:p>
        </w:tc>
        <w:tc>
          <w:tcPr>
            <w:tcW w:w="2126" w:type="dxa"/>
            <w:vAlign w:val="center"/>
          </w:tcPr>
          <w:p w:rsidR="00B77A95" w:rsidRDefault="00764BE6">
            <w:pPr>
              <w:spacing w:line="276" w:lineRule="auto"/>
              <w:jc w:val="center"/>
              <w:rPr>
                <w:rFonts w:ascii="Tahoma" w:eastAsia="Tahoma" w:hAnsi="Tahoma" w:cs="Tahoma"/>
                <w:b/>
                <w:sz w:val="20"/>
                <w:szCs w:val="20"/>
              </w:rPr>
            </w:pPr>
            <w:r>
              <w:rPr>
                <w:rFonts w:ascii="Tahoma" w:eastAsia="Tahoma" w:hAnsi="Tahoma" w:cs="Tahoma"/>
                <w:b/>
                <w:sz w:val="20"/>
                <w:szCs w:val="20"/>
              </w:rPr>
              <w:t xml:space="preserve">UF 8 – </w:t>
            </w:r>
          </w:p>
          <w:p w:rsidR="00B77A95" w:rsidRDefault="00764BE6">
            <w:pPr>
              <w:spacing w:line="276" w:lineRule="auto"/>
              <w:jc w:val="center"/>
              <w:rPr>
                <w:rFonts w:ascii="Tahoma" w:eastAsia="Tahoma" w:hAnsi="Tahoma" w:cs="Tahoma"/>
                <w:b/>
                <w:sz w:val="20"/>
                <w:szCs w:val="20"/>
              </w:rPr>
            </w:pPr>
            <w:r>
              <w:rPr>
                <w:rFonts w:ascii="Tahoma" w:eastAsia="Tahoma" w:hAnsi="Tahoma" w:cs="Tahoma"/>
                <w:b/>
                <w:sz w:val="20"/>
                <w:szCs w:val="20"/>
              </w:rPr>
              <w:t>PERDOMO II</w:t>
            </w:r>
          </w:p>
        </w:tc>
        <w:tc>
          <w:tcPr>
            <w:tcW w:w="1887" w:type="dxa"/>
            <w:vAlign w:val="center"/>
          </w:tcPr>
          <w:p w:rsidR="00B77A95" w:rsidRDefault="00764BE6">
            <w:pPr>
              <w:spacing w:line="276" w:lineRule="auto"/>
              <w:jc w:val="center"/>
              <w:rPr>
                <w:rFonts w:ascii="Tahoma" w:eastAsia="Tahoma" w:hAnsi="Tahoma" w:cs="Tahoma"/>
                <w:b/>
                <w:sz w:val="20"/>
                <w:szCs w:val="20"/>
              </w:rPr>
            </w:pPr>
            <w:r>
              <w:rPr>
                <w:rFonts w:ascii="Tahoma" w:eastAsia="Tahoma" w:hAnsi="Tahoma" w:cs="Tahoma"/>
                <w:b/>
                <w:sz w:val="20"/>
                <w:szCs w:val="20"/>
              </w:rPr>
              <w:t xml:space="preserve">UF 13 – </w:t>
            </w:r>
          </w:p>
          <w:p w:rsidR="00B77A95" w:rsidRDefault="00764BE6">
            <w:pPr>
              <w:spacing w:line="276" w:lineRule="auto"/>
              <w:jc w:val="center"/>
              <w:rPr>
                <w:rFonts w:ascii="Tahoma" w:eastAsia="Tahoma" w:hAnsi="Tahoma" w:cs="Tahoma"/>
                <w:b/>
                <w:sz w:val="20"/>
                <w:szCs w:val="20"/>
              </w:rPr>
            </w:pPr>
            <w:r>
              <w:rPr>
                <w:rFonts w:ascii="Tahoma" w:eastAsia="Tahoma" w:hAnsi="Tahoma" w:cs="Tahoma"/>
                <w:b/>
                <w:sz w:val="20"/>
                <w:szCs w:val="20"/>
              </w:rPr>
              <w:t>USME II</w:t>
            </w:r>
          </w:p>
        </w:tc>
      </w:tr>
      <w:tr w:rsidR="00B77A95" w:rsidRPr="001B6616">
        <w:tc>
          <w:tcPr>
            <w:tcW w:w="2689" w:type="dxa"/>
            <w:vAlign w:val="center"/>
          </w:tcPr>
          <w:p w:rsidR="00B77A95" w:rsidRDefault="00764BE6">
            <w:pPr>
              <w:spacing w:line="276" w:lineRule="auto"/>
              <w:rPr>
                <w:rFonts w:ascii="Tahoma" w:eastAsia="Tahoma" w:hAnsi="Tahoma" w:cs="Tahoma"/>
                <w:sz w:val="20"/>
                <w:szCs w:val="20"/>
              </w:rPr>
            </w:pPr>
            <w:r>
              <w:rPr>
                <w:rFonts w:ascii="Tahoma" w:eastAsia="Tahoma" w:hAnsi="Tahoma" w:cs="Tahoma"/>
                <w:sz w:val="20"/>
                <w:szCs w:val="20"/>
              </w:rPr>
              <w:t xml:space="preserve">Adjudicatario Provisión </w:t>
            </w:r>
          </w:p>
        </w:tc>
        <w:tc>
          <w:tcPr>
            <w:tcW w:w="2126" w:type="dxa"/>
          </w:tcPr>
          <w:p w:rsidR="00B77A95" w:rsidRPr="0064200B" w:rsidRDefault="00764BE6" w:rsidP="0064200B">
            <w:pPr>
              <w:spacing w:line="276" w:lineRule="auto"/>
              <w:jc w:val="center"/>
              <w:rPr>
                <w:rFonts w:ascii="Tahoma" w:eastAsia="Tahoma" w:hAnsi="Tahoma" w:cs="Tahoma"/>
                <w:sz w:val="20"/>
                <w:szCs w:val="20"/>
              </w:rPr>
            </w:pPr>
            <w:r w:rsidRPr="0064200B">
              <w:rPr>
                <w:rFonts w:ascii="Tahoma" w:eastAsia="Tahoma" w:hAnsi="Tahoma" w:cs="Tahoma"/>
                <w:sz w:val="20"/>
                <w:szCs w:val="20"/>
              </w:rPr>
              <w:t>BOGOTÁ ZE S.A.S</w:t>
            </w:r>
            <w:r w:rsidR="0064200B" w:rsidRPr="0064200B">
              <w:rPr>
                <w:rFonts w:ascii="Tahoma" w:eastAsia="Tahoma" w:hAnsi="Tahoma" w:cs="Tahoma"/>
                <w:sz w:val="20"/>
                <w:szCs w:val="20"/>
              </w:rPr>
              <w:t>.</w:t>
            </w:r>
          </w:p>
        </w:tc>
        <w:tc>
          <w:tcPr>
            <w:tcW w:w="2126" w:type="dxa"/>
          </w:tcPr>
          <w:p w:rsidR="00B77A95" w:rsidRPr="0064200B" w:rsidRDefault="00764BE6">
            <w:pPr>
              <w:spacing w:line="276" w:lineRule="auto"/>
              <w:jc w:val="center"/>
              <w:rPr>
                <w:rFonts w:ascii="Tahoma" w:eastAsia="Tahoma" w:hAnsi="Tahoma" w:cs="Tahoma"/>
                <w:sz w:val="20"/>
                <w:szCs w:val="20"/>
              </w:rPr>
            </w:pPr>
            <w:r w:rsidRPr="0064200B">
              <w:rPr>
                <w:rFonts w:ascii="Tahoma" w:eastAsia="Tahoma" w:hAnsi="Tahoma" w:cs="Tahoma"/>
                <w:sz w:val="20"/>
                <w:szCs w:val="20"/>
              </w:rPr>
              <w:t>VIP GREEN MOBILITY LLC</w:t>
            </w:r>
          </w:p>
        </w:tc>
        <w:tc>
          <w:tcPr>
            <w:tcW w:w="1887" w:type="dxa"/>
          </w:tcPr>
          <w:p w:rsidR="00B77A95" w:rsidRPr="0064200B" w:rsidRDefault="00764BE6" w:rsidP="001B6616">
            <w:pPr>
              <w:spacing w:line="276" w:lineRule="auto"/>
              <w:jc w:val="center"/>
              <w:rPr>
                <w:rFonts w:ascii="Tahoma" w:eastAsia="Tahoma" w:hAnsi="Tahoma" w:cs="Tahoma"/>
                <w:sz w:val="20"/>
                <w:szCs w:val="20"/>
              </w:rPr>
            </w:pPr>
            <w:r w:rsidRPr="0064200B">
              <w:rPr>
                <w:rFonts w:ascii="Tahoma" w:eastAsia="Tahoma" w:hAnsi="Tahoma" w:cs="Tahoma"/>
                <w:sz w:val="20"/>
                <w:szCs w:val="20"/>
              </w:rPr>
              <w:t>BOGOTÁ ZE S.A.S.</w:t>
            </w:r>
          </w:p>
        </w:tc>
      </w:tr>
      <w:tr w:rsidR="00B77A95">
        <w:tc>
          <w:tcPr>
            <w:tcW w:w="2689" w:type="dxa"/>
            <w:vAlign w:val="center"/>
          </w:tcPr>
          <w:p w:rsidR="00B77A95" w:rsidRDefault="00764BE6">
            <w:pPr>
              <w:spacing w:line="276" w:lineRule="auto"/>
              <w:rPr>
                <w:rFonts w:ascii="Tahoma" w:eastAsia="Tahoma" w:hAnsi="Tahoma" w:cs="Tahoma"/>
                <w:sz w:val="20"/>
                <w:szCs w:val="20"/>
              </w:rPr>
            </w:pPr>
            <w:r>
              <w:rPr>
                <w:rFonts w:ascii="Tahoma" w:eastAsia="Tahoma" w:hAnsi="Tahoma" w:cs="Tahoma"/>
                <w:sz w:val="20"/>
                <w:szCs w:val="20"/>
              </w:rPr>
              <w:t>Adjudicatario Operación</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BRTPLUS S.A.S.</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*No aplica</w:t>
            </w:r>
          </w:p>
        </w:tc>
        <w:tc>
          <w:tcPr>
            <w:tcW w:w="1887" w:type="dxa"/>
          </w:tcPr>
          <w:p w:rsidR="00B77A95" w:rsidRPr="001B6616" w:rsidRDefault="00764BE6" w:rsidP="001B6616">
            <w:pPr>
              <w:spacing w:line="276" w:lineRule="auto"/>
              <w:jc w:val="center"/>
              <w:rPr>
                <w:rFonts w:ascii="Tahoma" w:eastAsia="Tahoma" w:hAnsi="Tahoma" w:cs="Tahoma"/>
                <w:sz w:val="20"/>
                <w:szCs w:val="20"/>
              </w:rPr>
            </w:pPr>
            <w:r w:rsidRPr="001B6616">
              <w:rPr>
                <w:rFonts w:ascii="Tahoma" w:eastAsia="Tahoma" w:hAnsi="Tahoma" w:cs="Tahoma"/>
                <w:sz w:val="20"/>
                <w:szCs w:val="20"/>
              </w:rPr>
              <w:t>BRTPLUS S.AS.</w:t>
            </w:r>
          </w:p>
        </w:tc>
      </w:tr>
      <w:tr w:rsidR="00B77A95">
        <w:tc>
          <w:tcPr>
            <w:tcW w:w="2689" w:type="dxa"/>
          </w:tcPr>
          <w:p w:rsidR="00B77A95" w:rsidRDefault="00764BE6">
            <w:pPr>
              <w:spacing w:line="276" w:lineRule="auto"/>
              <w:jc w:val="both"/>
              <w:rPr>
                <w:rFonts w:ascii="Tahoma" w:eastAsia="Tahoma" w:hAnsi="Tahoma" w:cs="Tahoma"/>
                <w:sz w:val="20"/>
                <w:szCs w:val="20"/>
              </w:rPr>
            </w:pPr>
            <w:r>
              <w:rPr>
                <w:rFonts w:ascii="Tahoma" w:eastAsia="Tahoma" w:hAnsi="Tahoma" w:cs="Tahoma"/>
                <w:sz w:val="20"/>
                <w:szCs w:val="20"/>
              </w:rPr>
              <w:t>Tecnología de Flota</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100% eléctrica</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100% eléctrica</w:t>
            </w:r>
          </w:p>
        </w:tc>
        <w:tc>
          <w:tcPr>
            <w:tcW w:w="1887"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100% eléctrica</w:t>
            </w:r>
          </w:p>
        </w:tc>
      </w:tr>
      <w:tr w:rsidR="00B77A95">
        <w:tc>
          <w:tcPr>
            <w:tcW w:w="2689" w:type="dxa"/>
          </w:tcPr>
          <w:p w:rsidR="00B77A95" w:rsidRDefault="00764BE6">
            <w:pPr>
              <w:spacing w:line="276" w:lineRule="auto"/>
              <w:jc w:val="both"/>
              <w:rPr>
                <w:rFonts w:ascii="Tahoma" w:eastAsia="Tahoma" w:hAnsi="Tahoma" w:cs="Tahoma"/>
                <w:sz w:val="20"/>
                <w:szCs w:val="20"/>
              </w:rPr>
            </w:pPr>
            <w:r>
              <w:rPr>
                <w:rFonts w:ascii="Tahoma" w:eastAsia="Tahoma" w:hAnsi="Tahoma" w:cs="Tahoma"/>
                <w:sz w:val="20"/>
                <w:szCs w:val="20"/>
              </w:rPr>
              <w:t>Total de Flota (buses)</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172</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195</w:t>
            </w:r>
          </w:p>
        </w:tc>
        <w:tc>
          <w:tcPr>
            <w:tcW w:w="1887"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229</w:t>
            </w:r>
          </w:p>
        </w:tc>
      </w:tr>
      <w:tr w:rsidR="00B77A95">
        <w:tc>
          <w:tcPr>
            <w:tcW w:w="2689" w:type="dxa"/>
          </w:tcPr>
          <w:p w:rsidR="00B77A95" w:rsidRDefault="00764BE6">
            <w:pPr>
              <w:spacing w:line="276" w:lineRule="auto"/>
              <w:jc w:val="both"/>
              <w:rPr>
                <w:rFonts w:ascii="Tahoma" w:eastAsia="Tahoma" w:hAnsi="Tahoma" w:cs="Tahoma"/>
                <w:sz w:val="20"/>
                <w:szCs w:val="20"/>
              </w:rPr>
            </w:pPr>
            <w:r>
              <w:rPr>
                <w:rFonts w:ascii="Tahoma" w:eastAsia="Tahoma" w:hAnsi="Tahoma" w:cs="Tahoma"/>
                <w:sz w:val="20"/>
                <w:szCs w:val="20"/>
              </w:rPr>
              <w:t>Total de rutas que operará</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5</w:t>
            </w:r>
          </w:p>
        </w:tc>
        <w:tc>
          <w:tcPr>
            <w:tcW w:w="2126"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9</w:t>
            </w:r>
          </w:p>
        </w:tc>
        <w:tc>
          <w:tcPr>
            <w:tcW w:w="1887" w:type="dxa"/>
          </w:tcPr>
          <w:p w:rsidR="00B77A95" w:rsidRDefault="00764BE6">
            <w:pPr>
              <w:spacing w:line="276" w:lineRule="auto"/>
              <w:jc w:val="center"/>
              <w:rPr>
                <w:rFonts w:ascii="Tahoma" w:eastAsia="Tahoma" w:hAnsi="Tahoma" w:cs="Tahoma"/>
                <w:sz w:val="20"/>
                <w:szCs w:val="20"/>
              </w:rPr>
            </w:pPr>
            <w:r>
              <w:rPr>
                <w:rFonts w:ascii="Tahoma" w:eastAsia="Tahoma" w:hAnsi="Tahoma" w:cs="Tahoma"/>
                <w:sz w:val="20"/>
                <w:szCs w:val="20"/>
              </w:rPr>
              <w:t>5</w:t>
            </w:r>
          </w:p>
        </w:tc>
      </w:tr>
    </w:tbl>
    <w:p w:rsidR="00B77A95" w:rsidRDefault="00B77A95">
      <w:pPr>
        <w:spacing w:line="276" w:lineRule="auto"/>
        <w:jc w:val="both"/>
        <w:rPr>
          <w:rFonts w:ascii="Tahoma" w:eastAsia="Tahoma" w:hAnsi="Tahoma" w:cs="Tahoma"/>
        </w:rPr>
      </w:pPr>
    </w:p>
    <w:p w:rsidR="00B77A95" w:rsidRDefault="00733432">
      <w:pPr>
        <w:spacing w:line="276" w:lineRule="auto"/>
        <w:jc w:val="both"/>
        <w:rPr>
          <w:rFonts w:ascii="Tahoma" w:eastAsia="Tahoma" w:hAnsi="Tahoma" w:cs="Tahoma"/>
        </w:rPr>
      </w:pPr>
      <w:r>
        <w:rPr>
          <w:rFonts w:ascii="Tahoma" w:eastAsia="Tahoma" w:hAnsi="Tahoma" w:cs="Tahoma"/>
        </w:rPr>
        <w:t>*</w:t>
      </w:r>
      <w:r w:rsidR="00764BE6">
        <w:rPr>
          <w:rFonts w:ascii="Tahoma" w:eastAsia="Tahoma" w:hAnsi="Tahoma" w:cs="Tahoma"/>
        </w:rPr>
        <w:t>Para la UF 8 – Perdomo II, no se recibió propuesta de operación, únicamente de provisión, por lo que el Ente Gestor se encuentra evaluando alternativas de cara a la operación de dicha flota.</w:t>
      </w:r>
    </w:p>
    <w:p w:rsidR="00B77A95" w:rsidRDefault="00B77A95">
      <w:pPr>
        <w:spacing w:line="276" w:lineRule="auto"/>
        <w:jc w:val="both"/>
        <w:rPr>
          <w:rFonts w:ascii="Tahoma" w:eastAsia="Tahoma" w:hAnsi="Tahoma" w:cs="Tahoma"/>
        </w:rPr>
      </w:pPr>
    </w:p>
    <w:p w:rsidR="00833BD3" w:rsidRDefault="00833BD3">
      <w:pPr>
        <w:spacing w:line="276" w:lineRule="auto"/>
        <w:jc w:val="both"/>
        <w:rPr>
          <w:rFonts w:ascii="Tahoma" w:eastAsia="Tahoma" w:hAnsi="Tahoma" w:cs="Tahoma"/>
        </w:rPr>
      </w:pPr>
      <w:r>
        <w:rPr>
          <w:rFonts w:ascii="Tahoma" w:eastAsia="Tahoma" w:hAnsi="Tahoma" w:cs="Tahoma"/>
        </w:rPr>
        <w:t xml:space="preserve">Vale recalcar </w:t>
      </w:r>
      <w:proofErr w:type="gramStart"/>
      <w:r>
        <w:rPr>
          <w:rFonts w:ascii="Tahoma" w:eastAsia="Tahoma" w:hAnsi="Tahoma" w:cs="Tahoma"/>
        </w:rPr>
        <w:t>que</w:t>
      </w:r>
      <w:proofErr w:type="gramEnd"/>
      <w:r>
        <w:rPr>
          <w:rFonts w:ascii="Tahoma" w:eastAsia="Tahoma" w:hAnsi="Tahoma" w:cs="Tahoma"/>
        </w:rPr>
        <w:t xml:space="preserve"> en este proceso de selección abreviada, siguiendo la directriz del gobierno nacional, por dieron incentivos para privilegiar la industria colombiana. Razón por la cual los 596 de marca BYD (China) serán ensamblados en l</w:t>
      </w:r>
      <w:r w:rsidR="000C04FE">
        <w:rPr>
          <w:rFonts w:ascii="Tahoma" w:eastAsia="Tahoma" w:hAnsi="Tahoma" w:cs="Tahoma"/>
        </w:rPr>
        <w:t xml:space="preserve">a carrocera colombiana </w:t>
      </w:r>
      <w:proofErr w:type="spellStart"/>
      <w:r w:rsidR="000C04FE">
        <w:rPr>
          <w:rFonts w:ascii="Tahoma" w:eastAsia="Tahoma" w:hAnsi="Tahoma" w:cs="Tahoma"/>
        </w:rPr>
        <w:t>Busscar</w:t>
      </w:r>
      <w:proofErr w:type="spellEnd"/>
      <w:r w:rsidR="000C04FE">
        <w:rPr>
          <w:rFonts w:ascii="Tahoma" w:eastAsia="Tahoma" w:hAnsi="Tahoma" w:cs="Tahoma"/>
        </w:rPr>
        <w:t>, en vez de llegar finalizados desde China.</w:t>
      </w:r>
    </w:p>
    <w:p w:rsidR="00833BD3" w:rsidRDefault="00833BD3">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En total serán 19 rutas zonales nuevas las que operarán en Fontibón, Usme, Perdomo y beneficiarán directamente a cerca de 219.100 usuarios que se estima harán uso de ellas cada día. Estos vehículos iniciarán su entrada en operación de manera gradual a partir de noviembre del presente año.</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 xml:space="preserve">Además, Bogotá se beneficiará con una mejor calidad de aire, pues los buses eléctricos reemplazarán a vehículos altamente contaminantes del esquema provisional. </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 xml:space="preserve">La consecución de los 596 buses supone una inversión de $1.82 billones correspondientes a la provisión de la flota y </w:t>
      </w:r>
      <w:r w:rsidRPr="0064200B">
        <w:rPr>
          <w:rFonts w:ascii="Tahoma" w:eastAsia="Tahoma" w:hAnsi="Tahoma" w:cs="Tahoma"/>
        </w:rPr>
        <w:t xml:space="preserve">de $ </w:t>
      </w:r>
      <w:r w:rsidR="0064200B" w:rsidRPr="0064200B">
        <w:rPr>
          <w:rFonts w:ascii="Tahoma" w:eastAsia="Tahoma" w:hAnsi="Tahoma" w:cs="Tahoma"/>
        </w:rPr>
        <w:t xml:space="preserve">1.41 </w:t>
      </w:r>
      <w:r w:rsidRPr="0064200B">
        <w:rPr>
          <w:rFonts w:ascii="Tahoma" w:eastAsia="Tahoma" w:hAnsi="Tahoma" w:cs="Tahoma"/>
        </w:rPr>
        <w:t xml:space="preserve">billones </w:t>
      </w:r>
      <w:r>
        <w:rPr>
          <w:rFonts w:ascii="Tahoma" w:eastAsia="Tahoma" w:hAnsi="Tahoma" w:cs="Tahoma"/>
        </w:rPr>
        <w:t xml:space="preserve">en la operación de los buses durante 15 años, tiempo estimado de vigencia de los contratos de concesión. </w:t>
      </w:r>
    </w:p>
    <w:p w:rsidR="00B77A95" w:rsidRDefault="00B77A95">
      <w:pPr>
        <w:spacing w:line="276" w:lineRule="auto"/>
        <w:jc w:val="both"/>
        <w:rPr>
          <w:rFonts w:ascii="Tahoma" w:eastAsia="Tahoma" w:hAnsi="Tahoma" w:cs="Tahoma"/>
          <w:sz w:val="20"/>
          <w:szCs w:val="20"/>
        </w:rPr>
      </w:pPr>
    </w:p>
    <w:p w:rsidR="00B77A95" w:rsidRDefault="00764BE6">
      <w:pPr>
        <w:spacing w:line="276" w:lineRule="auto"/>
        <w:jc w:val="both"/>
        <w:rPr>
          <w:rFonts w:ascii="Tahoma" w:eastAsia="Tahoma" w:hAnsi="Tahoma" w:cs="Tahoma"/>
        </w:rPr>
      </w:pPr>
      <w:r>
        <w:rPr>
          <w:rFonts w:ascii="Tahoma" w:eastAsia="Tahoma" w:hAnsi="Tahoma" w:cs="Tahoma"/>
        </w:rPr>
        <w:t xml:space="preserve">Esta adjudicación se enmarca en el proyecto denominado Fase V que busca extender la cobertura del Sistema Integrado de Transporte Público (SITP) a toda la ciudad, pues, actualmente, algunas zonas en Usme, Fontibón, Perdomo, San Cristóbal y </w:t>
      </w:r>
      <w:r>
        <w:rPr>
          <w:rFonts w:ascii="Tahoma" w:eastAsia="Tahoma" w:hAnsi="Tahoma" w:cs="Tahoma"/>
        </w:rPr>
        <w:lastRenderedPageBreak/>
        <w:t>Suba Centro aún son atendidas por el esquema provisional que no está integrado con el SITP.</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 xml:space="preserve">En este proyecto, TRANSMILENIO S.A. ya ha licitado y adjudicado en sus primeras tres etapas 889 buses eléctricos y 794 buses de bajas emisiones con estándar de emisión Euro VI que ya se empezaron a vincular al Sistema y lo continuarán haciendo de manera gradual a lo largo del presenta año y del 2022. Vale la pena destacar que la vinculación de esta flota ya inició y en 2020 entraron en operación los primeros 133 buses eléctricos. </w:t>
      </w:r>
    </w:p>
    <w:p w:rsidR="00B77A95" w:rsidRDefault="00B77A95">
      <w:pPr>
        <w:spacing w:line="276" w:lineRule="auto"/>
        <w:jc w:val="both"/>
        <w:rPr>
          <w:rFonts w:ascii="Tahoma" w:eastAsia="Tahoma" w:hAnsi="Tahoma" w:cs="Tahoma"/>
        </w:rPr>
      </w:pPr>
    </w:p>
    <w:p w:rsidR="00B77A95" w:rsidRDefault="00764BE6">
      <w:pPr>
        <w:spacing w:line="276" w:lineRule="auto"/>
        <w:jc w:val="both"/>
        <w:rPr>
          <w:rFonts w:ascii="Tahoma" w:eastAsia="Tahoma" w:hAnsi="Tahoma" w:cs="Tahoma"/>
        </w:rPr>
      </w:pPr>
      <w:r>
        <w:rPr>
          <w:rFonts w:ascii="Tahoma" w:eastAsia="Tahoma" w:hAnsi="Tahoma" w:cs="Tahoma"/>
        </w:rPr>
        <w:t>En total, el Sistema ya tiene contratados 2.279 buses 100% eléctricos y de bajas emisiones con estándar de emisión Euro VI para este proceso de extender la cobertura del Sistema hasta donde los usuarios lo necesitan, y dejarlos mejor conectados con el resto de la ciudad con los beneficios que ofrece el Sistema como tarifa integrada, viajes a crédito y trasbordos entre $0 y $200, por mencionar algunos.</w:t>
      </w:r>
    </w:p>
    <w:sectPr w:rsidR="00B77A95">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D1C" w:rsidRDefault="00D36D1C">
      <w:r>
        <w:separator/>
      </w:r>
    </w:p>
  </w:endnote>
  <w:endnote w:type="continuationSeparator" w:id="0">
    <w:p w:rsidR="00D36D1C" w:rsidRDefault="00D36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A95" w:rsidRDefault="00764BE6">
    <w:pPr>
      <w:pBdr>
        <w:top w:val="nil"/>
        <w:left w:val="nil"/>
        <w:bottom w:val="nil"/>
        <w:right w:val="nil"/>
        <w:between w:val="nil"/>
      </w:pBdr>
      <w:tabs>
        <w:tab w:val="center" w:pos="4419"/>
        <w:tab w:val="right" w:pos="8838"/>
      </w:tabs>
      <w:rPr>
        <w:color w:val="000000"/>
      </w:rPr>
    </w:pPr>
    <w:r>
      <w:rPr>
        <w:rFonts w:ascii="Arial" w:eastAsia="Arial" w:hAnsi="Arial" w:cs="Arial"/>
        <w:b/>
        <w:noProof/>
        <w:color w:val="000000"/>
        <w:sz w:val="12"/>
        <w:szCs w:val="12"/>
        <w:lang w:val="es-MX" w:eastAsia="es-MX"/>
      </w:rPr>
      <w:drawing>
        <wp:inline distT="0" distB="0" distL="0" distR="0">
          <wp:extent cx="5396230" cy="752881"/>
          <wp:effectExtent l="0" t="0" r="0" b="0"/>
          <wp:docPr id="7" name="image2.jpg" descr="Imagen que contiene tabl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abla&#10;&#10;Descripción generada automáticamente"/>
                  <pic:cNvPicPr preferRelativeResize="0"/>
                </pic:nvPicPr>
                <pic:blipFill>
                  <a:blip r:embed="rId1"/>
                  <a:srcRect/>
                  <a:stretch>
                    <a:fillRect/>
                  </a:stretch>
                </pic:blipFill>
                <pic:spPr>
                  <a:xfrm>
                    <a:off x="0" y="0"/>
                    <a:ext cx="5396230" cy="752881"/>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D1C" w:rsidRDefault="00D36D1C">
      <w:r>
        <w:separator/>
      </w:r>
    </w:p>
  </w:footnote>
  <w:footnote w:type="continuationSeparator" w:id="0">
    <w:p w:rsidR="00D36D1C" w:rsidRDefault="00D36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A95" w:rsidRDefault="00764BE6">
    <w:pPr>
      <w:pBdr>
        <w:top w:val="nil"/>
        <w:left w:val="nil"/>
        <w:bottom w:val="nil"/>
        <w:right w:val="nil"/>
        <w:between w:val="nil"/>
      </w:pBdr>
      <w:tabs>
        <w:tab w:val="center" w:pos="4419"/>
        <w:tab w:val="right" w:pos="8838"/>
      </w:tabs>
      <w:rPr>
        <w:color w:val="000000"/>
      </w:rPr>
    </w:pPr>
    <w:r>
      <w:rPr>
        <w:rFonts w:ascii="Arial" w:eastAsia="Arial" w:hAnsi="Arial" w:cs="Arial"/>
        <w:b/>
        <w:noProof/>
        <w:color w:val="000000"/>
        <w:sz w:val="22"/>
        <w:szCs w:val="22"/>
        <w:lang w:val="es-MX" w:eastAsia="es-MX"/>
      </w:rPr>
      <w:drawing>
        <wp:inline distT="0" distB="0" distL="0" distR="0">
          <wp:extent cx="5396230" cy="70093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2529"/>
                  <a:stretch>
                    <a:fillRect/>
                  </a:stretch>
                </pic:blipFill>
                <pic:spPr>
                  <a:xfrm>
                    <a:off x="0" y="0"/>
                    <a:ext cx="5396230" cy="7009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56809"/>
    <w:multiLevelType w:val="multilevel"/>
    <w:tmpl w:val="EE9438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95"/>
    <w:rsid w:val="000C04FE"/>
    <w:rsid w:val="001B6616"/>
    <w:rsid w:val="00273326"/>
    <w:rsid w:val="002C0154"/>
    <w:rsid w:val="0064200B"/>
    <w:rsid w:val="00733432"/>
    <w:rsid w:val="00764BE6"/>
    <w:rsid w:val="00833BD3"/>
    <w:rsid w:val="00887597"/>
    <w:rsid w:val="00B77A95"/>
    <w:rsid w:val="00D36D1C"/>
    <w:rsid w:val="00E134F8"/>
    <w:rsid w:val="00ED1B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3E3E"/>
  <w15:docId w15:val="{EB2FE6A6-2972-4048-A02E-2DC71DBA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E02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9E02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3D4178"/>
    <w:pPr>
      <w:spacing w:before="100" w:beforeAutospacing="1" w:after="100" w:afterAutospacing="1"/>
      <w:outlineLvl w:val="2"/>
    </w:pPr>
    <w:rPr>
      <w:rFonts w:ascii="Times New Roman" w:eastAsia="Times New Roman" w:hAnsi="Times New Roman" w:cs="Times New Roman"/>
      <w:b/>
      <w:bCs/>
      <w:sz w:val="27"/>
      <w:szCs w:val="27"/>
      <w:lang w:val="es-CO"/>
    </w:rPr>
  </w:style>
  <w:style w:type="paragraph" w:styleId="Ttulo4">
    <w:name w:val="heading 4"/>
    <w:basedOn w:val="Normal"/>
    <w:next w:val="Normal"/>
    <w:link w:val="Ttulo4Car"/>
    <w:uiPriority w:val="9"/>
    <w:semiHidden/>
    <w:unhideWhenUsed/>
    <w:qFormat/>
    <w:rsid w:val="009E0260"/>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9E0260"/>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9E0260"/>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934BA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34BAC"/>
    <w:rPr>
      <w:rFonts w:ascii="Times New Roman" w:hAnsi="Times New Roman" w:cs="Times New Roman"/>
      <w:sz w:val="18"/>
      <w:szCs w:val="18"/>
      <w:lang w:val="es-ES"/>
    </w:rPr>
  </w:style>
  <w:style w:type="paragraph" w:styleId="Encabezado">
    <w:name w:val="header"/>
    <w:basedOn w:val="Normal"/>
    <w:link w:val="EncabezadoCar"/>
    <w:uiPriority w:val="99"/>
    <w:unhideWhenUsed/>
    <w:rsid w:val="00934BAC"/>
    <w:pPr>
      <w:tabs>
        <w:tab w:val="center" w:pos="4419"/>
        <w:tab w:val="right" w:pos="8838"/>
      </w:tabs>
    </w:pPr>
  </w:style>
  <w:style w:type="character" w:customStyle="1" w:styleId="EncabezadoCar">
    <w:name w:val="Encabezado Car"/>
    <w:basedOn w:val="Fuentedeprrafopredeter"/>
    <w:link w:val="Encabezado"/>
    <w:uiPriority w:val="99"/>
    <w:rsid w:val="00934BAC"/>
    <w:rPr>
      <w:lang w:val="es-ES"/>
    </w:rPr>
  </w:style>
  <w:style w:type="paragraph" w:styleId="Piedepgina">
    <w:name w:val="footer"/>
    <w:basedOn w:val="Normal"/>
    <w:link w:val="PiedepginaCar"/>
    <w:uiPriority w:val="99"/>
    <w:unhideWhenUsed/>
    <w:rsid w:val="00934BAC"/>
    <w:pPr>
      <w:tabs>
        <w:tab w:val="center" w:pos="4419"/>
        <w:tab w:val="right" w:pos="8838"/>
      </w:tabs>
    </w:pPr>
  </w:style>
  <w:style w:type="character" w:customStyle="1" w:styleId="PiedepginaCar">
    <w:name w:val="Pie de página Car"/>
    <w:basedOn w:val="Fuentedeprrafopredeter"/>
    <w:link w:val="Piedepgina"/>
    <w:uiPriority w:val="99"/>
    <w:rsid w:val="00934BAC"/>
    <w:rPr>
      <w:lang w:val="es-ES"/>
    </w:rPr>
  </w:style>
  <w:style w:type="table" w:styleId="Tablaconcuadrcula">
    <w:name w:val="Table Grid"/>
    <w:basedOn w:val="Tablanormal"/>
    <w:uiPriority w:val="39"/>
    <w:rsid w:val="0093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EY EPM - Lista,HOJA,Bolita,Párrafo de lista4,BOLADEF,Párrafo de lista21,BOLA,Nivel 1 OS,Colorful List Accent 1,Colorful List - Accent 11,Ha,Resume Title,parrafo,Guión,Viñeta 2,Titulo 8,Lista vistosa - Énfasis 11,Párrafo de lista3,列出段落"/>
    <w:basedOn w:val="Normal"/>
    <w:link w:val="PrrafodelistaCar"/>
    <w:uiPriority w:val="34"/>
    <w:qFormat/>
    <w:rsid w:val="00623733"/>
    <w:pPr>
      <w:ind w:left="720"/>
      <w:contextualSpacing/>
    </w:pPr>
  </w:style>
  <w:style w:type="character" w:customStyle="1" w:styleId="vortaltextbox">
    <w:name w:val="vortaltextbox"/>
    <w:basedOn w:val="Fuentedeprrafopredeter"/>
    <w:rsid w:val="003D4178"/>
  </w:style>
  <w:style w:type="character" w:customStyle="1" w:styleId="Ttulo3Car">
    <w:name w:val="Título 3 Car"/>
    <w:basedOn w:val="Fuentedeprrafopredeter"/>
    <w:link w:val="Ttulo3"/>
    <w:uiPriority w:val="9"/>
    <w:rsid w:val="003D4178"/>
    <w:rPr>
      <w:rFonts w:ascii="Times New Roman" w:eastAsia="Times New Roman" w:hAnsi="Times New Roman" w:cs="Times New Roman"/>
      <w:b/>
      <w:bCs/>
      <w:sz w:val="27"/>
      <w:szCs w:val="27"/>
      <w:lang w:val="es-CO" w:eastAsia="es-ES_tradnl"/>
    </w:rPr>
  </w:style>
  <w:style w:type="character" w:customStyle="1" w:styleId="Ttulo1Car">
    <w:name w:val="Título 1 Car"/>
    <w:basedOn w:val="Fuentedeprrafopredeter"/>
    <w:link w:val="Ttulo1"/>
    <w:uiPriority w:val="9"/>
    <w:rsid w:val="009E0260"/>
    <w:rPr>
      <w:rFonts w:asciiTheme="majorHAnsi" w:eastAsiaTheme="majorEastAsia" w:hAnsiTheme="majorHAnsi" w:cstheme="majorBidi"/>
      <w:color w:val="2F5496" w:themeColor="accent1" w:themeShade="BF"/>
      <w:sz w:val="32"/>
      <w:szCs w:val="32"/>
      <w:lang w:val="es-ES"/>
    </w:rPr>
  </w:style>
  <w:style w:type="character" w:customStyle="1" w:styleId="Ttulo2Car">
    <w:name w:val="Título 2 Car"/>
    <w:basedOn w:val="Fuentedeprrafopredeter"/>
    <w:link w:val="Ttulo2"/>
    <w:uiPriority w:val="9"/>
    <w:semiHidden/>
    <w:rsid w:val="009E0260"/>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semiHidden/>
    <w:rsid w:val="009E0260"/>
    <w:rPr>
      <w:rFonts w:asciiTheme="majorHAnsi" w:eastAsiaTheme="majorEastAsia" w:hAnsiTheme="majorHAnsi" w:cstheme="majorBidi"/>
      <w:i/>
      <w:iCs/>
      <w:color w:val="2F5496" w:themeColor="accent1" w:themeShade="BF"/>
      <w:lang w:val="es-ES"/>
    </w:rPr>
  </w:style>
  <w:style w:type="character" w:customStyle="1" w:styleId="Ttulo5Car">
    <w:name w:val="Título 5 Car"/>
    <w:basedOn w:val="Fuentedeprrafopredeter"/>
    <w:link w:val="Ttulo5"/>
    <w:uiPriority w:val="9"/>
    <w:semiHidden/>
    <w:rsid w:val="009E0260"/>
    <w:rPr>
      <w:rFonts w:asciiTheme="majorHAnsi" w:eastAsiaTheme="majorEastAsia" w:hAnsiTheme="majorHAnsi" w:cstheme="majorBidi"/>
      <w:color w:val="2F5496" w:themeColor="accent1" w:themeShade="BF"/>
      <w:lang w:val="es-ES"/>
    </w:rPr>
  </w:style>
  <w:style w:type="character" w:customStyle="1" w:styleId="Ttulo6Car">
    <w:name w:val="Título 6 Car"/>
    <w:basedOn w:val="Fuentedeprrafopredeter"/>
    <w:link w:val="Ttulo6"/>
    <w:uiPriority w:val="9"/>
    <w:semiHidden/>
    <w:rsid w:val="009E0260"/>
    <w:rPr>
      <w:rFonts w:asciiTheme="majorHAnsi" w:eastAsiaTheme="majorEastAsia" w:hAnsiTheme="majorHAnsi" w:cstheme="majorBidi"/>
      <w:color w:val="1F3763" w:themeColor="accent1" w:themeShade="7F"/>
      <w:lang w:val="es-ES"/>
    </w:rPr>
  </w:style>
  <w:style w:type="character" w:customStyle="1" w:styleId="PrrafodelistaCar">
    <w:name w:val="Párrafo de lista Car"/>
    <w:aliases w:val="EY EPM - Lista Car,HOJA Car,Bolita Car,Párrafo de lista4 Car,BOLADEF Car,Párrafo de lista21 Car,BOLA Car,Nivel 1 OS Car,Colorful List Accent 1 Car,Colorful List - Accent 11 Car,Ha Car,Resume Title Car,parrafo Car,Guión Car,列出段落 Car"/>
    <w:link w:val="Prrafodelista"/>
    <w:uiPriority w:val="34"/>
    <w:rsid w:val="00255B10"/>
    <w:rPr>
      <w:lang w:val="es-ES"/>
    </w:rPr>
  </w:style>
  <w:style w:type="character" w:styleId="Hipervnculo">
    <w:name w:val="Hyperlink"/>
    <w:basedOn w:val="Fuentedeprrafopredeter"/>
    <w:uiPriority w:val="99"/>
    <w:unhideWhenUsed/>
    <w:rsid w:val="00205645"/>
    <w:rPr>
      <w:color w:val="0563C1" w:themeColor="hyperlink"/>
      <w:u w:val="single"/>
    </w:rPr>
  </w:style>
  <w:style w:type="character" w:styleId="Refdecomentario">
    <w:name w:val="annotation reference"/>
    <w:basedOn w:val="Fuentedeprrafopredeter"/>
    <w:uiPriority w:val="99"/>
    <w:semiHidden/>
    <w:unhideWhenUsed/>
    <w:rsid w:val="009B1394"/>
    <w:rPr>
      <w:sz w:val="16"/>
      <w:szCs w:val="16"/>
    </w:rPr>
  </w:style>
  <w:style w:type="paragraph" w:styleId="Textocomentario">
    <w:name w:val="annotation text"/>
    <w:basedOn w:val="Normal"/>
    <w:link w:val="TextocomentarioCar"/>
    <w:uiPriority w:val="99"/>
    <w:semiHidden/>
    <w:unhideWhenUsed/>
    <w:rsid w:val="009B1394"/>
    <w:rPr>
      <w:sz w:val="20"/>
      <w:szCs w:val="20"/>
    </w:rPr>
  </w:style>
  <w:style w:type="character" w:customStyle="1" w:styleId="TextocomentarioCar">
    <w:name w:val="Texto comentario Car"/>
    <w:basedOn w:val="Fuentedeprrafopredeter"/>
    <w:link w:val="Textocomentario"/>
    <w:uiPriority w:val="99"/>
    <w:semiHidden/>
    <w:rsid w:val="009B139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B1394"/>
    <w:rPr>
      <w:b/>
      <w:bCs/>
    </w:rPr>
  </w:style>
  <w:style w:type="character" w:customStyle="1" w:styleId="AsuntodelcomentarioCar">
    <w:name w:val="Asunto del comentario Car"/>
    <w:basedOn w:val="TextocomentarioCar"/>
    <w:link w:val="Asuntodelcomentario"/>
    <w:uiPriority w:val="99"/>
    <w:semiHidden/>
    <w:rsid w:val="009B1394"/>
    <w:rPr>
      <w:b/>
      <w:bCs/>
      <w:sz w:val="20"/>
      <w:szCs w:val="20"/>
      <w:lang w:val="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p0c/7DB6EE03pIeQPztaadbQ==">AMUW2mXnlP2jZA+UnbzY6Lm17XTd3YgiRd1rZ2c6gU2+GP0XoIuP92K6L0Ed78vRJJ0GzYsaNa0GbTvo6oGnM74W8Y7IRwq62qDZek7RsZTpsRacjpwvrPM=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Marcela Bautista Sanguino</dc:creator>
  <cp:lastModifiedBy>Daniel</cp:lastModifiedBy>
  <cp:revision>6</cp:revision>
  <dcterms:created xsi:type="dcterms:W3CDTF">2021-01-05T17:04:00Z</dcterms:created>
  <dcterms:modified xsi:type="dcterms:W3CDTF">2021-01-05T18:48:00Z</dcterms:modified>
</cp:coreProperties>
</file>